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63" w:rsidRPr="00581B9D" w:rsidRDefault="00A03D63" w:rsidP="00A03D63">
      <w:pPr>
        <w:jc w:val="both"/>
        <w:rPr>
          <w:b/>
        </w:rPr>
      </w:pPr>
      <w:bookmarkStart w:id="0" w:name="_GoBack"/>
      <w:bookmarkEnd w:id="0"/>
      <w:r w:rsidRPr="00581B9D">
        <w:rPr>
          <w:b/>
        </w:rPr>
        <w:t>Nošení vojenského stejnokroje</w:t>
      </w:r>
      <w:r w:rsidR="00581B9D" w:rsidRPr="00581B9D">
        <w:rPr>
          <w:b/>
        </w:rPr>
        <w:t xml:space="preserve"> </w:t>
      </w:r>
      <w:r w:rsidR="00581B9D" w:rsidRPr="00581B9D">
        <w:rPr>
          <w:b/>
          <w:spacing w:val="-4"/>
        </w:rPr>
        <w:t>při slavnostních příležitostech</w:t>
      </w:r>
      <w:r w:rsidRPr="00581B9D">
        <w:rPr>
          <w:b/>
        </w:rPr>
        <w:t xml:space="preserve"> </w:t>
      </w:r>
    </w:p>
    <w:p w:rsidR="00A03D63" w:rsidRPr="00056ED0" w:rsidRDefault="00A03D63" w:rsidP="00A03D63">
      <w:pPr>
        <w:jc w:val="both"/>
      </w:pPr>
    </w:p>
    <w:p w:rsidR="00A03D63" w:rsidRPr="00056ED0" w:rsidRDefault="00A03D63" w:rsidP="00A03D63">
      <w:pPr>
        <w:jc w:val="both"/>
      </w:pPr>
      <w:r w:rsidRPr="00056ED0">
        <w:t xml:space="preserve">Jak stanoví zákon č. </w:t>
      </w:r>
      <w:r w:rsidRPr="00056ED0">
        <w:rPr>
          <w:spacing w:val="-4"/>
        </w:rPr>
        <w:t xml:space="preserve">č. 219/1999 Sb., </w:t>
      </w:r>
      <w:r w:rsidRPr="00056ED0">
        <w:rPr>
          <w:i/>
          <w:iCs/>
          <w:spacing w:val="-4"/>
        </w:rPr>
        <w:t>o ozbrojených silách České republiky</w:t>
      </w:r>
      <w:r w:rsidRPr="00056ED0">
        <w:rPr>
          <w:spacing w:val="-4"/>
        </w:rPr>
        <w:t>, ve znění pozdějších předpisů</w:t>
      </w:r>
      <w:r>
        <w:rPr>
          <w:spacing w:val="-4"/>
        </w:rPr>
        <w:t xml:space="preserve"> </w:t>
      </w:r>
      <w:r w:rsidRPr="00056ED0">
        <w:t xml:space="preserve">vojenský stejnokroj a vojenské odznaky jsou oprávněni nosit jen vojáci v činné službě. Výjimku představují slavnostní příležitosti, při kterých mohou vojenský stejnokroj nosit i další osoby. Jedná se zejména o vojáky v záloze a osoby, kterým bylo nošení vojenského stejnokroje povoleno služebním orgánem. </w:t>
      </w:r>
    </w:p>
    <w:p w:rsidR="00A03D63" w:rsidRPr="00056ED0" w:rsidRDefault="00A03D63" w:rsidP="00A03D63">
      <w:pPr>
        <w:jc w:val="both"/>
        <w:rPr>
          <w:spacing w:val="-4"/>
        </w:rPr>
      </w:pPr>
    </w:p>
    <w:p w:rsidR="00A03D63" w:rsidRPr="00056ED0" w:rsidRDefault="00A03D63" w:rsidP="00A03D63">
      <w:pPr>
        <w:jc w:val="both"/>
        <w:rPr>
          <w:spacing w:val="-4"/>
        </w:rPr>
      </w:pPr>
      <w:r w:rsidRPr="00056ED0">
        <w:rPr>
          <w:spacing w:val="-4"/>
        </w:rPr>
        <w:t xml:space="preserve">Rozkaz ministra obrany č. 63/2015 Věstníku </w:t>
      </w:r>
      <w:r w:rsidRPr="00056ED0">
        <w:rPr>
          <w:i/>
          <w:spacing w:val="-4"/>
        </w:rPr>
        <w:t>Některá ustanovení o průběhu služby vojáků z povolání</w:t>
      </w:r>
      <w:r w:rsidRPr="00056ED0">
        <w:rPr>
          <w:spacing w:val="-4"/>
        </w:rPr>
        <w:t>, definuje ve svém čl. 77, komu lze vydat povolení k nošení vojenského stejnokroje při slavnostních příležitostech. Toto povolení lze vydat:</w:t>
      </w:r>
    </w:p>
    <w:p w:rsidR="00A03D63" w:rsidRPr="00A03D63" w:rsidRDefault="00A03D63" w:rsidP="00A03D63">
      <w:pPr>
        <w:pStyle w:val="rozkazy"/>
        <w:numPr>
          <w:ilvl w:val="0"/>
          <w:numId w:val="2"/>
        </w:numPr>
        <w:tabs>
          <w:tab w:val="left" w:pos="851"/>
        </w:tabs>
        <w:spacing w:after="0" w:line="216" w:lineRule="auto"/>
        <w:ind w:left="284" w:hanging="284"/>
      </w:pPr>
      <w:r w:rsidRPr="00056ED0">
        <w:t>osobě, která jako voják konala službu v zahraničí v celkové době nejméně 6 měsíců, trval-li její služební poměr nejméně 5 let;</w:t>
      </w:r>
    </w:p>
    <w:p w:rsidR="00A03D63" w:rsidRPr="00056ED0" w:rsidRDefault="00A03D63" w:rsidP="00A03D63">
      <w:pPr>
        <w:pStyle w:val="rozkazy"/>
        <w:numPr>
          <w:ilvl w:val="0"/>
          <w:numId w:val="2"/>
        </w:numPr>
        <w:tabs>
          <w:tab w:val="left" w:pos="851"/>
        </w:tabs>
        <w:spacing w:after="0" w:line="216" w:lineRule="auto"/>
        <w:ind w:left="284" w:hanging="284"/>
        <w:rPr>
          <w:spacing w:val="-2"/>
        </w:rPr>
      </w:pPr>
      <w:r w:rsidRPr="00056ED0">
        <w:rPr>
          <w:spacing w:val="-2"/>
        </w:rPr>
        <w:t>v</w:t>
      </w:r>
      <w:r w:rsidRPr="00056ED0">
        <w:rPr>
          <w:bCs/>
          <w:spacing w:val="-2"/>
        </w:rPr>
        <w:t xml:space="preserve">álečnému veteránovi, </w:t>
      </w:r>
      <w:r w:rsidRPr="00056ED0">
        <w:rPr>
          <w:spacing w:val="-2"/>
        </w:rPr>
        <w:t xml:space="preserve">který je nositelem osvědčení o jeho účasti na národním boji za osvobození podle </w:t>
      </w:r>
      <w:r w:rsidRPr="00056ED0">
        <w:t>§ 1 odst. 1 písm. a) až f) zákona č. 255/1946 Sb</w:t>
      </w:r>
      <w:r w:rsidRPr="00056ED0">
        <w:rPr>
          <w:i/>
        </w:rPr>
        <w:t>., o příslušnících československé armády v zahraničí a o některých jiných účastnících národního boje za osvobození</w:t>
      </w:r>
      <w:r w:rsidRPr="00056ED0">
        <w:rPr>
          <w:spacing w:val="-2"/>
        </w:rPr>
        <w:t>, dosáhl-li vojenskou hodnost;</w:t>
      </w:r>
    </w:p>
    <w:p w:rsidR="00A03D63" w:rsidRPr="00056ED0" w:rsidRDefault="00A03D63" w:rsidP="00A03D63">
      <w:pPr>
        <w:pStyle w:val="rozkazy"/>
        <w:numPr>
          <w:ilvl w:val="0"/>
          <w:numId w:val="2"/>
        </w:numPr>
        <w:tabs>
          <w:tab w:val="left" w:pos="851"/>
        </w:tabs>
        <w:spacing w:after="0" w:line="216" w:lineRule="auto"/>
        <w:ind w:left="284" w:hanging="284"/>
      </w:pPr>
      <w:r w:rsidRPr="00056ED0">
        <w:t>ostatním osobám, jejichž služební poměr vojáka trval nejméně10 let.</w:t>
      </w:r>
    </w:p>
    <w:p w:rsidR="00A03D63" w:rsidRPr="00056ED0" w:rsidRDefault="00A03D63" w:rsidP="00A03D63">
      <w:pPr>
        <w:spacing w:line="216" w:lineRule="auto"/>
        <w:ind w:left="284" w:firstLine="567"/>
        <w:jc w:val="both"/>
        <w:rPr>
          <w:spacing w:val="-4"/>
        </w:rPr>
      </w:pPr>
    </w:p>
    <w:p w:rsidR="00A03D63" w:rsidRPr="00056ED0" w:rsidRDefault="00A03D63" w:rsidP="00A03D63">
      <w:pPr>
        <w:ind w:left="284" w:hanging="284"/>
        <w:jc w:val="both"/>
      </w:pPr>
      <w:r w:rsidRPr="00056ED0">
        <w:t>Pokud osoba nesplňuje žádnou z výše uvedených podmínek, nemůže jí být nošení vojenského stejnokroje povoleno.</w:t>
      </w:r>
    </w:p>
    <w:p w:rsidR="00A03D63" w:rsidRPr="00056ED0" w:rsidRDefault="00A03D63" w:rsidP="00A03D63">
      <w:pPr>
        <w:spacing w:line="216" w:lineRule="auto"/>
        <w:ind w:left="284" w:hanging="284"/>
        <w:rPr>
          <w:spacing w:val="-4"/>
        </w:rPr>
      </w:pPr>
    </w:p>
    <w:p w:rsidR="00A03D63" w:rsidRPr="00A03D63" w:rsidRDefault="00A03D63" w:rsidP="00A03D63">
      <w:pPr>
        <w:spacing w:line="216" w:lineRule="auto"/>
        <w:ind w:left="284" w:hanging="284"/>
        <w:rPr>
          <w:spacing w:val="-4"/>
        </w:rPr>
      </w:pPr>
      <w:r w:rsidRPr="00A03D63">
        <w:rPr>
          <w:b/>
          <w:spacing w:val="-4"/>
        </w:rPr>
        <w:t>Poučení na závěr:</w:t>
      </w:r>
      <w:r>
        <w:rPr>
          <w:b/>
          <w:spacing w:val="-4"/>
        </w:rPr>
        <w:t xml:space="preserve"> </w:t>
      </w:r>
      <w:r w:rsidRPr="00A03D63">
        <w:rPr>
          <w:spacing w:val="-4"/>
        </w:rPr>
        <w:t>Vojenský stejnokroj, který je určen k nošení při slavnostních příležitostech, se smí nosit pouze s hodnostním označením a stejnokrojovými doplňky podle platných pravidel, popřípadě podle pravidel, která platila v době, kdy služební poměr zanikl.</w:t>
      </w:r>
    </w:p>
    <w:p w:rsidR="00A03D63" w:rsidRPr="00056ED0" w:rsidRDefault="00A03D63" w:rsidP="00A03D63">
      <w:pPr>
        <w:spacing w:line="216" w:lineRule="auto"/>
        <w:ind w:left="284" w:hanging="284"/>
        <w:jc w:val="both"/>
        <w:rPr>
          <w:spacing w:val="-4"/>
        </w:rPr>
      </w:pPr>
    </w:p>
    <w:p w:rsidR="00A03D63" w:rsidRPr="005D6B62" w:rsidRDefault="00A03D63" w:rsidP="00A03D63">
      <w:pPr>
        <w:spacing w:line="216" w:lineRule="auto"/>
        <w:ind w:left="284" w:hanging="284"/>
        <w:jc w:val="both"/>
        <w:rPr>
          <w:b/>
          <w:spacing w:val="-4"/>
        </w:rPr>
      </w:pPr>
      <w:r w:rsidRPr="005D6B62">
        <w:rPr>
          <w:b/>
          <w:spacing w:val="-4"/>
        </w:rPr>
        <w:t xml:space="preserve">Nositel o vojenský stejnokroj pečuje a udržuje jej v reprezentativním stavu. </w:t>
      </w:r>
    </w:p>
    <w:p w:rsidR="00A03D63" w:rsidRPr="00056ED0" w:rsidRDefault="00A03D63" w:rsidP="00A03D63">
      <w:pPr>
        <w:pStyle w:val="rozkazy0"/>
        <w:spacing w:after="0" w:line="216" w:lineRule="auto"/>
        <w:ind w:left="284" w:hanging="284"/>
        <w:rPr>
          <w:spacing w:val="-4"/>
          <w:sz w:val="24"/>
          <w:szCs w:val="24"/>
        </w:rPr>
      </w:pPr>
    </w:p>
    <w:p w:rsidR="00A03D63" w:rsidRPr="00056ED0" w:rsidRDefault="00A03D63" w:rsidP="00A03D63">
      <w:pPr>
        <w:pStyle w:val="rozkazy0"/>
        <w:spacing w:after="0" w:line="216" w:lineRule="auto"/>
        <w:ind w:left="284" w:hanging="284"/>
        <w:rPr>
          <w:spacing w:val="-4"/>
          <w:sz w:val="24"/>
          <w:szCs w:val="24"/>
        </w:rPr>
      </w:pPr>
      <w:r w:rsidRPr="00056ED0">
        <w:rPr>
          <w:spacing w:val="-4"/>
          <w:sz w:val="24"/>
          <w:szCs w:val="24"/>
        </w:rPr>
        <w:t>Slavnostní příležitostí, při které lze nosit vojenský stejnokroj, se rozumí:</w:t>
      </w:r>
    </w:p>
    <w:p w:rsidR="00A03D63" w:rsidRPr="00056ED0" w:rsidRDefault="00A03D63" w:rsidP="00A03D63">
      <w:pPr>
        <w:pStyle w:val="rozkazy0"/>
        <w:numPr>
          <w:ilvl w:val="0"/>
          <w:numId w:val="1"/>
        </w:numPr>
        <w:spacing w:line="216" w:lineRule="auto"/>
        <w:ind w:left="284" w:hanging="284"/>
        <w:rPr>
          <w:spacing w:val="-4"/>
          <w:sz w:val="24"/>
          <w:szCs w:val="24"/>
        </w:rPr>
      </w:pPr>
      <w:r w:rsidRPr="00056ED0">
        <w:rPr>
          <w:spacing w:val="-4"/>
          <w:sz w:val="24"/>
          <w:szCs w:val="24"/>
        </w:rPr>
        <w:t>příležitost oslav státního svátku, ostatního svátku, významného nebo památného dne České republiky nebo Armády České republiky;</w:t>
      </w:r>
    </w:p>
    <w:p w:rsidR="00A03D63" w:rsidRPr="00056ED0" w:rsidRDefault="00A03D63" w:rsidP="00A03D63">
      <w:pPr>
        <w:pStyle w:val="rozkazy0"/>
        <w:numPr>
          <w:ilvl w:val="0"/>
          <w:numId w:val="1"/>
        </w:numPr>
        <w:spacing w:line="216" w:lineRule="auto"/>
        <w:ind w:left="284" w:hanging="284"/>
        <w:rPr>
          <w:spacing w:val="-4"/>
          <w:sz w:val="24"/>
          <w:szCs w:val="24"/>
        </w:rPr>
      </w:pPr>
      <w:r w:rsidRPr="00056ED0">
        <w:rPr>
          <w:spacing w:val="-4"/>
          <w:sz w:val="24"/>
          <w:szCs w:val="24"/>
        </w:rPr>
        <w:t>slavnostní nástup nebo shromáždění, jmenování do vyšší vojenské hodnosti, vyznamenávání jednotlivců nebo útvaru, oficiálním pietním aktu, divadelní představení, koncert;</w:t>
      </w:r>
    </w:p>
    <w:p w:rsidR="00A03D63" w:rsidRPr="00056ED0" w:rsidRDefault="00A03D63" w:rsidP="00A03D63">
      <w:pPr>
        <w:pStyle w:val="rozkazy0"/>
        <w:numPr>
          <w:ilvl w:val="0"/>
          <w:numId w:val="1"/>
        </w:numPr>
        <w:spacing w:line="216" w:lineRule="auto"/>
        <w:ind w:left="284" w:hanging="284"/>
        <w:rPr>
          <w:spacing w:val="-4"/>
          <w:sz w:val="24"/>
          <w:szCs w:val="24"/>
        </w:rPr>
      </w:pPr>
      <w:r w:rsidRPr="00056ED0">
        <w:rPr>
          <w:spacing w:val="-4"/>
          <w:sz w:val="24"/>
          <w:szCs w:val="24"/>
        </w:rPr>
        <w:t>přijetí u prezidenta republiky, předsedy vlády, ministra obrany, jeho náměstků a náčelníka Generálního štábu Armády České republiky;</w:t>
      </w:r>
    </w:p>
    <w:p w:rsidR="00A03D63" w:rsidRPr="00056ED0" w:rsidRDefault="00A03D63" w:rsidP="00A03D63">
      <w:pPr>
        <w:pStyle w:val="rozkazy0"/>
        <w:numPr>
          <w:ilvl w:val="0"/>
          <w:numId w:val="1"/>
        </w:numPr>
        <w:spacing w:line="216" w:lineRule="auto"/>
        <w:ind w:left="284" w:hanging="284"/>
        <w:rPr>
          <w:spacing w:val="-4"/>
          <w:sz w:val="24"/>
          <w:szCs w:val="24"/>
        </w:rPr>
      </w:pPr>
      <w:r w:rsidRPr="00056ED0">
        <w:rPr>
          <w:spacing w:val="-4"/>
          <w:sz w:val="24"/>
          <w:szCs w:val="24"/>
        </w:rPr>
        <w:t>civilní slavnostní příležitost (svatba, promoce apod.);</w:t>
      </w:r>
    </w:p>
    <w:p w:rsidR="00A03D63" w:rsidRPr="00056ED0" w:rsidRDefault="00A03D63" w:rsidP="00A03D63">
      <w:pPr>
        <w:pStyle w:val="rozkazy0"/>
        <w:widowControl w:val="0"/>
        <w:numPr>
          <w:ilvl w:val="0"/>
          <w:numId w:val="1"/>
        </w:numPr>
        <w:spacing w:after="200" w:line="276" w:lineRule="auto"/>
        <w:ind w:left="284" w:hanging="284"/>
      </w:pPr>
      <w:r w:rsidRPr="00A03D63">
        <w:rPr>
          <w:spacing w:val="-4"/>
          <w:sz w:val="24"/>
          <w:szCs w:val="24"/>
        </w:rPr>
        <w:t>účast na pohřbu.</w:t>
      </w:r>
    </w:p>
    <w:p w:rsidR="00A03D63" w:rsidRPr="00056ED0" w:rsidRDefault="00A03D63" w:rsidP="00A03D6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6ED0">
        <w:rPr>
          <w:bCs/>
        </w:rPr>
        <w:t xml:space="preserve">Bohužel se stále častěji setkáváme buď s tím, že osoby nosí stejnokroj při jiných než slavnostních příležitostech nebo nosí stejnokroj osoby, které k tomu vůbec nejsou oprávněny. V té souvislosti je třeba upozornit, že ten, kdo </w:t>
      </w:r>
      <w:r w:rsidRPr="00056ED0">
        <w:t xml:space="preserve">úmyslně na místě veřejnosti přístupném nosí neoprávněně vojenský nebo služební stejnokroj příslušníků ozbrojených sil nebo ozbrojených sborů, nebo takové součásti stejnokroje, které jsou s úplným stejnokrojem zaměnitelné, ačkoliv není příslušníkem ozbrojených sil nebo ozbrojených sborů, dopouští se tím přestupku </w:t>
      </w:r>
      <w:r w:rsidRPr="00056ED0">
        <w:rPr>
          <w:bCs/>
        </w:rPr>
        <w:t xml:space="preserve">proti pořádku ve státní správě a v územní samosprávě dle § 21 odst. 1 písm. i) zákona </w:t>
      </w:r>
      <w:r>
        <w:rPr>
          <w:bCs/>
        </w:rPr>
        <w:br/>
      </w:r>
      <w:r w:rsidRPr="00056ED0">
        <w:rPr>
          <w:bCs/>
        </w:rPr>
        <w:t xml:space="preserve">č. 200/1990 Sb., o přestupcích, ve znění pozdějších předpisů. </w:t>
      </w:r>
      <w:r>
        <w:rPr>
          <w:bCs/>
        </w:rPr>
        <w:t>Za tento přestupek lze uložit pokutu až do výše 3.000,- Kč. Pokud se s takovýmto neoprávněným jednáním setkáte, neváhejte kontaktovat Ministerstvo obrany či</w:t>
      </w:r>
      <w:r w:rsidRPr="00056ED0">
        <w:t xml:space="preserve"> </w:t>
      </w:r>
      <w:r>
        <w:rPr>
          <w:bCs/>
        </w:rPr>
        <w:t xml:space="preserve">přímo </w:t>
      </w:r>
      <w:r w:rsidRPr="00056ED0">
        <w:rPr>
          <w:bCs/>
        </w:rPr>
        <w:t xml:space="preserve">obecní úřad </w:t>
      </w:r>
      <w:r>
        <w:rPr>
          <w:bCs/>
        </w:rPr>
        <w:t xml:space="preserve">obce, v níž ke spáchání tohoto jednání porušujícího či ohrožujícího zájem společnosti došlo, </w:t>
      </w:r>
      <w:r w:rsidRPr="00056ED0">
        <w:rPr>
          <w:bCs/>
        </w:rPr>
        <w:t xml:space="preserve">nebo </w:t>
      </w:r>
      <w:r>
        <w:rPr>
          <w:bCs/>
        </w:rPr>
        <w:t xml:space="preserve">přímo </w:t>
      </w:r>
      <w:r w:rsidRPr="00056ED0">
        <w:rPr>
          <w:bCs/>
        </w:rPr>
        <w:t>zvláštní orgán obc</w:t>
      </w:r>
      <w:r>
        <w:rPr>
          <w:bCs/>
        </w:rPr>
        <w:t>e</w:t>
      </w:r>
      <w:r w:rsidRPr="00056ED0">
        <w:rPr>
          <w:bCs/>
        </w:rPr>
        <w:t xml:space="preserve"> </w:t>
      </w:r>
      <w:r>
        <w:rPr>
          <w:bCs/>
        </w:rPr>
        <w:t xml:space="preserve">(komisi pro projednávání přestupků). </w:t>
      </w:r>
    </w:p>
    <w:p w:rsidR="00A95F53" w:rsidRPr="00A03D63" w:rsidRDefault="00A95F53">
      <w:pPr>
        <w:rPr>
          <w:b/>
        </w:rPr>
      </w:pPr>
    </w:p>
    <w:sectPr w:rsidR="00A95F53" w:rsidRPr="00A03D63" w:rsidSect="0028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77E78"/>
    <w:multiLevelType w:val="hybridMultilevel"/>
    <w:tmpl w:val="5EF8C964"/>
    <w:lvl w:ilvl="0" w:tplc="E640DDEC">
      <w:start w:val="1"/>
      <w:numFmt w:val="lowerLetter"/>
      <w:lvlText w:val="%1)"/>
      <w:lvlJc w:val="left"/>
      <w:pPr>
        <w:ind w:left="860" w:hanging="5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A4A192A"/>
    <w:multiLevelType w:val="hybridMultilevel"/>
    <w:tmpl w:val="0D84CB1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F3F6D"/>
    <w:multiLevelType w:val="hybridMultilevel"/>
    <w:tmpl w:val="E418EDE0"/>
    <w:lvl w:ilvl="0" w:tplc="04050019">
      <w:start w:val="1"/>
      <w:numFmt w:val="low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63"/>
    <w:rsid w:val="00280103"/>
    <w:rsid w:val="00581B9D"/>
    <w:rsid w:val="00A03D63"/>
    <w:rsid w:val="00A95F53"/>
    <w:rsid w:val="00E7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5E5D1-1CFF-4B9B-A16A-CE039955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kazy">
    <w:name w:val="_rozkazy"/>
    <w:basedOn w:val="Normln"/>
    <w:rsid w:val="00A03D63"/>
    <w:pPr>
      <w:spacing w:after="120"/>
      <w:ind w:firstLine="567"/>
      <w:jc w:val="both"/>
    </w:pPr>
    <w:rPr>
      <w:szCs w:val="20"/>
    </w:rPr>
  </w:style>
  <w:style w:type="paragraph" w:customStyle="1" w:styleId="rozkazy0">
    <w:name w:val="rozkazy"/>
    <w:basedOn w:val="Normln"/>
    <w:rsid w:val="00A03D63"/>
    <w:pPr>
      <w:spacing w:after="120" w:line="288" w:lineRule="auto"/>
      <w:ind w:firstLine="567"/>
      <w:jc w:val="both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C22E-1E1A-4A10-8806-D0B807C8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vetraki</dc:creator>
  <cp:lastModifiedBy>Uzivatel iMO</cp:lastModifiedBy>
  <cp:revision>2</cp:revision>
  <dcterms:created xsi:type="dcterms:W3CDTF">2020-05-15T09:29:00Z</dcterms:created>
  <dcterms:modified xsi:type="dcterms:W3CDTF">2020-05-15T09:29:00Z</dcterms:modified>
</cp:coreProperties>
</file>